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1D" w:rsidRDefault="003E7B1D"/>
    <w:tbl>
      <w:tblPr>
        <w:tblW w:w="9356" w:type="dxa"/>
        <w:tblCellSpacing w:w="37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97CBC" w:rsidRPr="006A3351" w:rsidTr="003E7B1D">
        <w:trPr>
          <w:tblCellSpacing w:w="37" w:type="dxa"/>
        </w:trPr>
        <w:tc>
          <w:tcPr>
            <w:tcW w:w="9208" w:type="dxa"/>
            <w:hideMark/>
          </w:tcPr>
          <w:p w:rsidR="003E7B1D" w:rsidRPr="003E7B1D" w:rsidRDefault="003E7B1D" w:rsidP="003E7B1D">
            <w:pPr>
              <w:pStyle w:val="Titel"/>
              <w:rPr>
                <w:sz w:val="72"/>
              </w:rPr>
            </w:pPr>
            <w:r w:rsidRPr="003E7B1D">
              <w:rPr>
                <w:sz w:val="72"/>
              </w:rPr>
              <w:t>SEPA – BIC –IBAN</w:t>
            </w:r>
          </w:p>
          <w:p w:rsidR="00797CBC" w:rsidRPr="003E7B1D" w:rsidRDefault="00797CBC" w:rsidP="003E7B1D">
            <w:pPr>
              <w:pStyle w:val="berschrift1"/>
            </w:pPr>
            <w:r w:rsidRPr="003E7B1D">
              <w:t>Was bedeutet</w:t>
            </w:r>
            <w:r w:rsidRPr="00A86A1C">
              <w:rPr>
                <w:b/>
              </w:rPr>
              <w:t xml:space="preserve"> </w:t>
            </w:r>
            <w:r w:rsidRPr="00A86A1C">
              <w:rPr>
                <w:b/>
                <w:sz w:val="28"/>
              </w:rPr>
              <w:t>SEPA</w:t>
            </w:r>
            <w:r w:rsidRPr="003E7B1D">
              <w:t>?</w:t>
            </w:r>
          </w:p>
          <w:p w:rsidR="00476BDA" w:rsidRPr="003E7B1D" w:rsidRDefault="00476BDA" w:rsidP="003E7B1D">
            <w:pPr>
              <w:rPr>
                <w:sz w:val="18"/>
                <w:lang w:eastAsia="de-DE"/>
              </w:rPr>
            </w:pPr>
          </w:p>
          <w:p w:rsidR="00797CBC" w:rsidRPr="003E7B1D" w:rsidRDefault="00797CBC" w:rsidP="003E7B1D">
            <w:pPr>
              <w:rPr>
                <w:lang w:eastAsia="de-DE"/>
              </w:rPr>
            </w:pPr>
            <w:r w:rsidRPr="003E7B1D">
              <w:rPr>
                <w:rStyle w:val="Fett"/>
              </w:rPr>
              <w:t>SEPA</w:t>
            </w:r>
            <w:r w:rsidRPr="003E7B1D">
              <w:rPr>
                <w:lang w:eastAsia="de-DE"/>
              </w:rPr>
              <w:t xml:space="preserve"> steht für </w:t>
            </w:r>
            <w:r w:rsidRPr="003E7B1D">
              <w:rPr>
                <w:i/>
                <w:lang w:eastAsia="de-DE"/>
              </w:rPr>
              <w:t xml:space="preserve">Single Euro </w:t>
            </w:r>
            <w:proofErr w:type="spellStart"/>
            <w:r w:rsidRPr="003E7B1D">
              <w:rPr>
                <w:i/>
                <w:lang w:eastAsia="de-DE"/>
              </w:rPr>
              <w:t>Payments</w:t>
            </w:r>
            <w:proofErr w:type="spellEnd"/>
            <w:r w:rsidRPr="003E7B1D">
              <w:rPr>
                <w:i/>
                <w:lang w:eastAsia="de-DE"/>
              </w:rPr>
              <w:t xml:space="preserve"> Area</w:t>
            </w:r>
            <w:r w:rsidRPr="003E7B1D">
              <w:rPr>
                <w:lang w:eastAsia="de-DE"/>
              </w:rPr>
              <w:t xml:space="preserve"> und schafft einen einheitlichen europäischen Zahlungsverkehr. SEPA wird als weiterer Schritt zur Vollendung des gemeinsamen europäischen Binnenmarktes gesehen.</w:t>
            </w:r>
          </w:p>
          <w:p w:rsidR="00797CBC" w:rsidRPr="003E7B1D" w:rsidRDefault="00797CBC" w:rsidP="003E7B1D">
            <w:pPr>
              <w:rPr>
                <w:lang w:eastAsia="de-DE"/>
              </w:rPr>
            </w:pPr>
            <w:bookmarkStart w:id="0" w:name="2"/>
            <w:bookmarkEnd w:id="0"/>
            <w:r w:rsidRPr="003E7B1D">
              <w:rPr>
                <w:lang w:eastAsia="de-DE"/>
              </w:rPr>
              <w:t>Wann erfolgt</w:t>
            </w:r>
            <w:r w:rsidR="000E6584" w:rsidRPr="003E7B1D">
              <w:rPr>
                <w:lang w:eastAsia="de-DE"/>
              </w:rPr>
              <w:t>e</w:t>
            </w:r>
            <w:r w:rsidRPr="003E7B1D">
              <w:rPr>
                <w:lang w:eastAsia="de-DE"/>
              </w:rPr>
              <w:t xml:space="preserve"> die Umstellung auf SEPA?</w:t>
            </w:r>
          </w:p>
          <w:p w:rsidR="00797CBC" w:rsidRPr="003E7B1D" w:rsidRDefault="00797CBC" w:rsidP="003E7B1D">
            <w:pPr>
              <w:rPr>
                <w:lang w:eastAsia="de-DE"/>
              </w:rPr>
            </w:pPr>
            <w:r w:rsidRPr="003E7B1D">
              <w:rPr>
                <w:lang w:eastAsia="de-DE"/>
              </w:rPr>
              <w:t xml:space="preserve">Alle Unternehmen </w:t>
            </w:r>
            <w:r w:rsidR="000E6584" w:rsidRPr="003E7B1D">
              <w:rPr>
                <w:lang w:eastAsia="de-DE"/>
              </w:rPr>
              <w:t>wurden</w:t>
            </w:r>
            <w:r w:rsidRPr="003E7B1D">
              <w:rPr>
                <w:lang w:eastAsia="de-DE"/>
              </w:rPr>
              <w:t xml:space="preserve"> verpflichtet, spätestens ab dem 1. Februar 2014 Überweisungen als SEPA-Überweisung und Lastschriften als SEPA-Lastschrift durchzuführen.</w:t>
            </w:r>
          </w:p>
          <w:p w:rsidR="00797CBC" w:rsidRPr="003E7B1D" w:rsidRDefault="00797CBC" w:rsidP="003E7B1D">
            <w:pPr>
              <w:pStyle w:val="berschrift1"/>
            </w:pPr>
            <w:bookmarkStart w:id="1" w:name="5"/>
            <w:bookmarkEnd w:id="1"/>
            <w:r w:rsidRPr="003E7B1D">
              <w:t xml:space="preserve">Was bedeutet die Abkürzung </w:t>
            </w:r>
            <w:r w:rsidRPr="00A86A1C">
              <w:rPr>
                <w:b/>
                <w:sz w:val="28"/>
              </w:rPr>
              <w:t>BIC</w:t>
            </w:r>
            <w:r w:rsidRPr="003E7B1D">
              <w:t>?</w:t>
            </w:r>
          </w:p>
          <w:p w:rsidR="00476BDA" w:rsidRPr="003E7B1D" w:rsidRDefault="00476BDA" w:rsidP="003E7B1D">
            <w:pPr>
              <w:rPr>
                <w:sz w:val="18"/>
                <w:lang w:eastAsia="de-DE"/>
              </w:rPr>
            </w:pPr>
          </w:p>
          <w:p w:rsidR="00476BDA" w:rsidRPr="003E7B1D" w:rsidRDefault="00476BDA" w:rsidP="003E7B1D">
            <w:pPr>
              <w:rPr>
                <w:rFonts w:eastAsia="Times New Roman" w:cs="Arial"/>
                <w:lang w:eastAsia="de-DE"/>
              </w:rPr>
            </w:pPr>
            <w:r w:rsidRPr="003E7B1D">
              <w:rPr>
                <w:rFonts w:eastAsia="Times New Roman" w:cs="Arial"/>
                <w:lang w:eastAsia="de-DE"/>
              </w:rPr>
              <w:t xml:space="preserve">Beim </w:t>
            </w:r>
            <w:r w:rsidRPr="003E7B1D">
              <w:rPr>
                <w:rStyle w:val="Fett"/>
              </w:rPr>
              <w:t>BIC</w:t>
            </w:r>
            <w:r w:rsidRPr="003E7B1D">
              <w:rPr>
                <w:rFonts w:eastAsia="Times New Roman" w:cs="Arial"/>
                <w:lang w:eastAsia="de-DE"/>
              </w:rPr>
              <w:t xml:space="preserve"> (</w:t>
            </w:r>
            <w:r w:rsidRPr="003E7B1D">
              <w:rPr>
                <w:rFonts w:eastAsia="Times New Roman" w:cs="Arial"/>
                <w:i/>
                <w:lang w:eastAsia="de-DE"/>
              </w:rPr>
              <w:t>Bank Identifier Code</w:t>
            </w:r>
            <w:r w:rsidRPr="003E7B1D">
              <w:rPr>
                <w:rFonts w:eastAsia="Times New Roman" w:cs="Arial"/>
                <w:lang w:eastAsia="de-DE"/>
              </w:rPr>
              <w:t>) handelt es sich um eine von der </w:t>
            </w:r>
            <w:hyperlink r:id="rId7" w:history="1">
              <w:r w:rsidRPr="003E7B1D">
                <w:rPr>
                  <w:rFonts w:eastAsia="Times New Roman" w:cs="Arial"/>
                  <w:lang w:eastAsia="de-DE"/>
                </w:rPr>
                <w:t>SWIFT</w:t>
              </w:r>
            </w:hyperlink>
            <w:r w:rsidRPr="003E7B1D">
              <w:rPr>
                <w:rFonts w:eastAsia="Times New Roman" w:cs="Arial"/>
                <w:lang w:eastAsia="de-DE"/>
              </w:rPr>
              <w:t xml:space="preserve"> (Society </w:t>
            </w:r>
            <w:proofErr w:type="spellStart"/>
            <w:r w:rsidRPr="003E7B1D">
              <w:rPr>
                <w:rFonts w:eastAsia="Times New Roman" w:cs="Arial"/>
                <w:lang w:eastAsia="de-DE"/>
              </w:rPr>
              <w:t>for</w:t>
            </w:r>
            <w:proofErr w:type="spellEnd"/>
            <w:r w:rsidRPr="003E7B1D">
              <w:rPr>
                <w:rFonts w:eastAsia="Times New Roman" w:cs="Arial"/>
                <w:lang w:eastAsia="de-DE"/>
              </w:rPr>
              <w:t xml:space="preserve"> Worldwide Interbank Financial </w:t>
            </w:r>
            <w:proofErr w:type="spellStart"/>
            <w:r w:rsidRPr="003E7B1D">
              <w:rPr>
                <w:rFonts w:eastAsia="Times New Roman" w:cs="Arial"/>
                <w:lang w:eastAsia="de-DE"/>
              </w:rPr>
              <w:t>Telecommunication</w:t>
            </w:r>
            <w:proofErr w:type="spellEnd"/>
            <w:r w:rsidRPr="003E7B1D">
              <w:rPr>
                <w:rFonts w:eastAsia="Times New Roman" w:cs="Arial"/>
                <w:lang w:eastAsia="de-DE"/>
              </w:rPr>
              <w:t>) festgelegte</w:t>
            </w:r>
            <w:r w:rsidRPr="00A86A1C">
              <w:rPr>
                <w:rFonts w:eastAsia="Times New Roman" w:cs="Arial"/>
                <w:b/>
                <w:i/>
                <w:lang w:eastAsia="de-DE"/>
              </w:rPr>
              <w:t xml:space="preserve"> international</w:t>
            </w:r>
            <w:r w:rsidRPr="003E7B1D">
              <w:rPr>
                <w:rFonts w:eastAsia="Times New Roman" w:cs="Arial"/>
                <w:lang w:eastAsia="de-DE"/>
              </w:rPr>
              <w:t xml:space="preserve"> gültige Bankleitzahl. Da der BIC von der SWIFT vergeben wird, bezeichnet man ihn oftmals auch als SWIFT-Code. Zusammen mit der </w:t>
            </w:r>
            <w:hyperlink r:id="rId8" w:history="1">
              <w:r w:rsidRPr="003E7B1D">
                <w:rPr>
                  <w:rFonts w:eastAsia="Times New Roman" w:cs="Arial"/>
                  <w:lang w:eastAsia="de-DE"/>
                </w:rPr>
                <w:t>IBAN</w:t>
              </w:r>
            </w:hyperlink>
            <w:r w:rsidRPr="003E7B1D">
              <w:rPr>
                <w:rFonts w:eastAsia="Times New Roman" w:cs="Arial"/>
                <w:lang w:eastAsia="de-DE"/>
              </w:rPr>
              <w:t xml:space="preserve"> als international einheitlicher Kontonummer bildet er die Daten, die zur Identifizierung eines Kontos im Rahmen </w:t>
            </w:r>
            <w:r w:rsidR="003E7B1D">
              <w:rPr>
                <w:rFonts w:eastAsia="Times New Roman" w:cs="Arial"/>
                <w:lang w:eastAsia="de-DE"/>
              </w:rPr>
              <w:t>v</w:t>
            </w:r>
            <w:r w:rsidRPr="003E7B1D">
              <w:rPr>
                <w:rFonts w:eastAsia="Times New Roman" w:cs="Arial"/>
                <w:lang w:eastAsia="de-DE"/>
              </w:rPr>
              <w:t>on </w:t>
            </w:r>
            <w:hyperlink r:id="rId9" w:history="1">
              <w:r w:rsidRPr="003E7B1D">
                <w:rPr>
                  <w:rFonts w:eastAsia="Times New Roman" w:cs="Arial"/>
                  <w:lang w:eastAsia="de-DE"/>
                </w:rPr>
                <w:t>SEPA</w:t>
              </w:r>
            </w:hyperlink>
            <w:r w:rsidRPr="003E7B1D">
              <w:rPr>
                <w:rFonts w:eastAsia="Times New Roman" w:cs="Arial"/>
                <w:lang w:eastAsia="de-DE"/>
              </w:rPr>
              <w:t xml:space="preserve"> und der seit 2008 gültigen </w:t>
            </w:r>
            <w:hyperlink r:id="rId10" w:history="1">
              <w:r w:rsidRPr="003E7B1D">
                <w:rPr>
                  <w:rFonts w:eastAsia="Times New Roman" w:cs="Arial"/>
                  <w:lang w:eastAsia="de-DE"/>
                </w:rPr>
                <w:t>Euro-Überweisung</w:t>
              </w:r>
            </w:hyperlink>
            <w:r w:rsidRPr="003E7B1D">
              <w:rPr>
                <w:rFonts w:eastAsia="Times New Roman" w:cs="Arial"/>
                <w:lang w:eastAsia="de-DE"/>
              </w:rPr>
              <w:t> benötigt werden, um sowohl im nationalen als auch inter</w:t>
            </w:r>
            <w:r w:rsidR="00546C56" w:rsidRPr="003E7B1D">
              <w:rPr>
                <w:rFonts w:eastAsia="Times New Roman" w:cs="Arial"/>
                <w:lang w:eastAsia="de-DE"/>
              </w:rPr>
              <w:t>nationalen Zahlungsverkehr einen</w:t>
            </w:r>
            <w:r w:rsidRPr="003E7B1D">
              <w:rPr>
                <w:rFonts w:eastAsia="Times New Roman" w:cs="Arial"/>
                <w:lang w:eastAsia="de-DE"/>
              </w:rPr>
              <w:t xml:space="preserve"> Empfänger einwandfrei zu identifizieren. </w:t>
            </w:r>
            <w:r w:rsidRPr="003E7B1D">
              <w:rPr>
                <w:lang w:eastAsia="de-DE"/>
              </w:rPr>
              <w:t>Er besteht aus max. 11 Stellen.</w:t>
            </w:r>
          </w:p>
          <w:p w:rsidR="00797CBC" w:rsidRPr="003E7B1D" w:rsidRDefault="00797CBC" w:rsidP="003E7B1D">
            <w:pPr>
              <w:rPr>
                <w:lang w:eastAsia="de-DE"/>
              </w:rPr>
            </w:pPr>
            <w:proofErr w:type="spellStart"/>
            <w:r w:rsidRPr="003E7B1D">
              <w:rPr>
                <w:lang w:eastAsia="de-DE"/>
              </w:rPr>
              <w:t>Bankcode</w:t>
            </w:r>
            <w:proofErr w:type="spellEnd"/>
            <w:r w:rsidRPr="003E7B1D">
              <w:rPr>
                <w:lang w:eastAsia="de-DE"/>
              </w:rPr>
              <w:t xml:space="preserve"> (</w:t>
            </w:r>
            <w:proofErr w:type="spellStart"/>
            <w:r w:rsidRPr="003E7B1D">
              <w:rPr>
                <w:lang w:eastAsia="de-DE"/>
              </w:rPr>
              <w:t>alpha</w:t>
            </w:r>
            <w:proofErr w:type="spellEnd"/>
            <w:r w:rsidRPr="003E7B1D">
              <w:rPr>
                <w:lang w:eastAsia="de-DE"/>
              </w:rPr>
              <w:t xml:space="preserve">): </w:t>
            </w:r>
            <w:r w:rsidR="00EC4A7E" w:rsidRPr="003E7B1D">
              <w:rPr>
                <w:lang w:eastAsia="de-DE"/>
              </w:rPr>
              <w:t>BYLA</w:t>
            </w:r>
            <w:r w:rsidRPr="003E7B1D">
              <w:rPr>
                <w:lang w:eastAsia="de-DE"/>
              </w:rPr>
              <w:br/>
              <w:t>Ländercode (</w:t>
            </w:r>
            <w:proofErr w:type="spellStart"/>
            <w:r w:rsidRPr="003E7B1D">
              <w:rPr>
                <w:lang w:eastAsia="de-DE"/>
              </w:rPr>
              <w:t>alpha</w:t>
            </w:r>
            <w:proofErr w:type="spellEnd"/>
            <w:r w:rsidRPr="003E7B1D">
              <w:rPr>
                <w:lang w:eastAsia="de-DE"/>
              </w:rPr>
              <w:t>): DE</w:t>
            </w:r>
            <w:r w:rsidRPr="003E7B1D">
              <w:rPr>
                <w:lang w:eastAsia="de-DE"/>
              </w:rPr>
              <w:br/>
              <w:t xml:space="preserve">Ort (alphanumerisch): </w:t>
            </w:r>
            <w:r w:rsidR="00EC4A7E" w:rsidRPr="003E7B1D">
              <w:rPr>
                <w:lang w:eastAsia="de-DE"/>
              </w:rPr>
              <w:t>M1</w:t>
            </w:r>
            <w:r w:rsidRPr="003E7B1D">
              <w:rPr>
                <w:lang w:eastAsia="de-DE"/>
              </w:rPr>
              <w:br/>
              <w:t xml:space="preserve">Code für Filiale (optional): </w:t>
            </w:r>
            <w:r w:rsidR="00EC4A7E" w:rsidRPr="003E7B1D">
              <w:rPr>
                <w:lang w:eastAsia="de-DE"/>
              </w:rPr>
              <w:t>ALG</w:t>
            </w:r>
          </w:p>
          <w:p w:rsidR="00476BDA" w:rsidRPr="003E7B1D" w:rsidRDefault="00476BDA" w:rsidP="003E7B1D">
            <w:pPr>
              <w:rPr>
                <w:lang w:eastAsia="de-DE"/>
              </w:rPr>
            </w:pPr>
          </w:p>
          <w:p w:rsidR="00476BDA" w:rsidRPr="003E7B1D" w:rsidRDefault="00644E72" w:rsidP="003E7B1D">
            <w:pPr>
              <w:rPr>
                <w:rStyle w:val="IntensiveHervorhebung"/>
              </w:rPr>
            </w:pPr>
            <w:r w:rsidRPr="003E7B1D">
              <w:rPr>
                <w:rStyle w:val="IntensiveHervorhebung"/>
                <w:noProof/>
                <w:lang w:eastAsia="de-DE"/>
              </w:rPr>
              <w:drawing>
                <wp:anchor distT="0" distB="0" distL="114300" distR="114300" simplePos="0" relativeHeight="251664896" behindDoc="1" locked="0" layoutInCell="1" allowOverlap="1" wp14:anchorId="666C5B3B" wp14:editId="65F4E044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-915670</wp:posOffset>
                  </wp:positionV>
                  <wp:extent cx="3146425" cy="881380"/>
                  <wp:effectExtent l="0" t="0" r="0" b="0"/>
                  <wp:wrapThrough wrapText="bothSides">
                    <wp:wrapPolygon edited="0">
                      <wp:start x="0" y="0"/>
                      <wp:lineTo x="0" y="21009"/>
                      <wp:lineTo x="21447" y="21009"/>
                      <wp:lineTo x="21447" y="0"/>
                      <wp:lineTo x="0" y="0"/>
                    </wp:wrapPolygon>
                  </wp:wrapThrough>
                  <wp:docPr id="1" name="Grafik 1" descr="http://www.iban.de/bilder/b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an.de/bilder/b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9" t="11280" r="10571" b="8239"/>
                          <a:stretch/>
                        </pic:blipFill>
                        <pic:spPr bwMode="auto">
                          <a:xfrm>
                            <a:off x="0" y="0"/>
                            <a:ext cx="314642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B1D">
              <w:rPr>
                <w:rStyle w:val="IntensiveHervorhebung"/>
              </w:rPr>
              <w:t xml:space="preserve">Beispiel der </w:t>
            </w:r>
            <w:r w:rsidRPr="00A86A1C">
              <w:rPr>
                <w:rStyle w:val="IntensiveHervorhebung"/>
                <w:color w:val="FF0000"/>
              </w:rPr>
              <w:t xml:space="preserve">Sparkasse Allgäu                    </w:t>
            </w:r>
            <w:r w:rsidRPr="003E7B1D">
              <w:rPr>
                <w:rStyle w:val="IntensiveHervorhebung"/>
              </w:rPr>
              <w:t>BYLADEM1ALG</w:t>
            </w:r>
          </w:p>
          <w:p w:rsidR="00476BDA" w:rsidRPr="003E7B1D" w:rsidRDefault="003E7B1D" w:rsidP="003E7B1D">
            <w:pPr>
              <w:pStyle w:val="berschrift1"/>
            </w:pPr>
            <w:r>
              <w:t>W</w:t>
            </w:r>
            <w:r w:rsidR="00476BDA" w:rsidRPr="003E7B1D">
              <w:t xml:space="preserve">as bedeutet die Abkürzung </w:t>
            </w:r>
            <w:r w:rsidR="00476BDA" w:rsidRPr="00A86A1C">
              <w:rPr>
                <w:b/>
                <w:sz w:val="28"/>
              </w:rPr>
              <w:t>IBAN</w:t>
            </w:r>
            <w:r w:rsidR="00476BDA" w:rsidRPr="003E7B1D">
              <w:t>?</w:t>
            </w:r>
          </w:p>
          <w:p w:rsidR="00476BDA" w:rsidRPr="003E7B1D" w:rsidRDefault="00476BDA" w:rsidP="003E7B1D">
            <w:pPr>
              <w:rPr>
                <w:sz w:val="18"/>
                <w:lang w:eastAsia="de-DE"/>
              </w:rPr>
            </w:pPr>
          </w:p>
          <w:p w:rsidR="0069712E" w:rsidRPr="003E7B1D" w:rsidRDefault="0069712E" w:rsidP="00476BDA">
            <w:pPr>
              <w:rPr>
                <w:szCs w:val="22"/>
                <w:lang w:eastAsia="de-DE"/>
              </w:rPr>
            </w:pPr>
            <w:r w:rsidRPr="003E7B1D">
              <w:rPr>
                <w:rStyle w:val="Fet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2090266</wp:posOffset>
                      </wp:positionH>
                      <wp:positionV relativeFrom="paragraph">
                        <wp:posOffset>869950</wp:posOffset>
                      </wp:positionV>
                      <wp:extent cx="461319" cy="238554"/>
                      <wp:effectExtent l="0" t="19050" r="34290" b="47625"/>
                      <wp:wrapNone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19" cy="23855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145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" o:spid="_x0000_s1026" type="#_x0000_t13" style="position:absolute;margin-left:164.6pt;margin-top:68.5pt;width:36.3pt;height:18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" adj="16015" fillcolor="#4f81bd [3204]" strokecolor="#243f60 [1604]" strokeweight="2pt"/>
                  </w:pict>
                </mc:Fallback>
              </mc:AlternateContent>
            </w:r>
            <w:r w:rsidRPr="003E7B1D">
              <w:rPr>
                <w:rStyle w:val="Fet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16978C6" wp14:editId="664AFE26">
                      <wp:simplePos x="0" y="0"/>
                      <wp:positionH relativeFrom="column">
                        <wp:posOffset>2790756</wp:posOffset>
                      </wp:positionH>
                      <wp:positionV relativeFrom="paragraph">
                        <wp:posOffset>870190</wp:posOffset>
                      </wp:positionV>
                      <wp:extent cx="2660822" cy="1828800"/>
                      <wp:effectExtent l="0" t="0" r="25400" b="2159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822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712E" w:rsidRPr="003E7B1D" w:rsidRDefault="0069712E" w:rsidP="005832D9">
                                  <w:pPr>
                                    <w:rPr>
                                      <w:rStyle w:val="Fett"/>
                                      <w:sz w:val="28"/>
                                    </w:rPr>
                                  </w:pPr>
                                  <w:r w:rsidRPr="003E7B1D">
                                    <w:rPr>
                                      <w:rStyle w:val="Fett"/>
                                      <w:sz w:val="28"/>
                                    </w:rPr>
                                    <w:t xml:space="preserve">DE29 7335 0000 0950 </w:t>
                                  </w:r>
                                  <w:r w:rsidR="00EC4A7E" w:rsidRPr="003E7B1D">
                                    <w:rPr>
                                      <w:rStyle w:val="Fett"/>
                                      <w:sz w:val="28"/>
                                    </w:rPr>
                                    <w:t>1234</w:t>
                                  </w:r>
                                  <w:r w:rsidRPr="003E7B1D">
                                    <w:rPr>
                                      <w:rStyle w:val="Fett"/>
                                      <w:sz w:val="28"/>
                                    </w:rPr>
                                    <w:t xml:space="preserve"> 5</w:t>
                                  </w:r>
                                  <w:r w:rsidR="00EC4A7E" w:rsidRPr="003E7B1D">
                                    <w:rPr>
                                      <w:rStyle w:val="Fett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6978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19.75pt;margin-top:68.5pt;width:209.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" filled="f" strokeweight=".5pt">
                      <v:textbox style="mso-fit-shape-to-text:t">
                        <w:txbxContent>
                          <w:p w:rsidR="0069712E" w:rsidRPr="003E7B1D" w:rsidRDefault="0069712E" w:rsidP="005832D9">
                            <w:pPr>
                              <w:rPr>
                                <w:rStyle w:val="Fett"/>
                                <w:sz w:val="28"/>
                              </w:rPr>
                            </w:pPr>
                            <w:r w:rsidRPr="003E7B1D">
                              <w:rPr>
                                <w:rStyle w:val="Fett"/>
                                <w:sz w:val="28"/>
                              </w:rPr>
                              <w:t xml:space="preserve">DE29 7335 0000 0950 </w:t>
                            </w:r>
                            <w:r w:rsidR="00EC4A7E" w:rsidRPr="003E7B1D">
                              <w:rPr>
                                <w:rStyle w:val="Fett"/>
                                <w:sz w:val="28"/>
                              </w:rPr>
                              <w:t>1234</w:t>
                            </w:r>
                            <w:r w:rsidRPr="003E7B1D">
                              <w:rPr>
                                <w:rStyle w:val="Fett"/>
                                <w:sz w:val="28"/>
                              </w:rPr>
                              <w:t xml:space="preserve"> 5</w:t>
                            </w:r>
                            <w:r w:rsidR="00EC4A7E" w:rsidRPr="003E7B1D">
                              <w:rPr>
                                <w:rStyle w:val="Fett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BDA" w:rsidRPr="003E7B1D">
              <w:rPr>
                <w:rStyle w:val="Fett"/>
              </w:rPr>
              <w:t>IBAN</w:t>
            </w:r>
            <w:r w:rsidR="00476BDA" w:rsidRPr="003E7B1D">
              <w:rPr>
                <w:lang w:eastAsia="de-DE"/>
              </w:rPr>
              <w:t xml:space="preserve"> steht für International </w:t>
            </w:r>
            <w:r w:rsidR="00476BDA" w:rsidRPr="003E7B1D">
              <w:rPr>
                <w:i/>
                <w:lang w:eastAsia="de-DE"/>
              </w:rPr>
              <w:t xml:space="preserve">Bank Account </w:t>
            </w:r>
            <w:proofErr w:type="spellStart"/>
            <w:r w:rsidR="00476BDA" w:rsidRPr="003E7B1D">
              <w:rPr>
                <w:i/>
                <w:lang w:eastAsia="de-DE"/>
              </w:rPr>
              <w:t>Number</w:t>
            </w:r>
            <w:proofErr w:type="spellEnd"/>
            <w:r w:rsidR="00476BDA" w:rsidRPr="003E7B1D">
              <w:rPr>
                <w:lang w:eastAsia="de-DE"/>
              </w:rPr>
              <w:t>. Sie besteht aus max. 34 Stellen, die je nach Land unterschiedlich genutzt werden können. Für Deutschland sind 22 Stellen mit folgender Struktur vorgesehen:</w:t>
            </w:r>
            <w:r w:rsidR="00476BDA" w:rsidRPr="003E7B1D">
              <w:rPr>
                <w:lang w:eastAsia="de-DE"/>
              </w:rPr>
              <w:br/>
            </w:r>
            <w:r w:rsidR="00476BDA" w:rsidRPr="003E7B1D">
              <w:rPr>
                <w:lang w:eastAsia="de-DE"/>
              </w:rPr>
              <w:br/>
              <w:t>Länderkennzeichen: DE</w:t>
            </w:r>
            <w:r w:rsidR="00476BDA" w:rsidRPr="003E7B1D">
              <w:rPr>
                <w:lang w:eastAsia="de-DE"/>
              </w:rPr>
              <w:br/>
              <w:t xml:space="preserve">Prüfziffer: </w:t>
            </w:r>
            <w:r w:rsidRPr="003E7B1D">
              <w:rPr>
                <w:lang w:eastAsia="de-DE"/>
              </w:rPr>
              <w:t>29</w:t>
            </w:r>
            <w:r w:rsidR="00476BDA" w:rsidRPr="00476BDA">
              <w:rPr>
                <w:lang w:eastAsia="de-DE"/>
              </w:rPr>
              <w:br/>
              <w:t xml:space="preserve">Bankleitzahl: </w:t>
            </w:r>
            <w:r>
              <w:rPr>
                <w:lang w:eastAsia="de-DE"/>
              </w:rPr>
              <w:t>733 500 00</w:t>
            </w:r>
            <w:r w:rsidR="00476BDA" w:rsidRPr="00476BDA">
              <w:rPr>
                <w:lang w:eastAsia="de-DE"/>
              </w:rPr>
              <w:br/>
              <w:t xml:space="preserve">Kontonummer: </w:t>
            </w:r>
            <w:bookmarkStart w:id="2" w:name="7"/>
            <w:bookmarkEnd w:id="2"/>
            <w:r>
              <w:rPr>
                <w:lang w:eastAsia="de-DE"/>
              </w:rPr>
              <w:t>950 123 456</w:t>
            </w:r>
          </w:p>
        </w:tc>
        <w:bookmarkStart w:id="3" w:name="_GoBack"/>
        <w:bookmarkEnd w:id="3"/>
      </w:tr>
    </w:tbl>
    <w:p w:rsidR="007938BC" w:rsidRDefault="007938BC" w:rsidP="003E7B1D"/>
    <w:sectPr w:rsidR="007938BC" w:rsidSect="003E7B1D">
      <w:headerReference w:type="default" r:id="rId12"/>
      <w:footerReference w:type="defaul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D" w:rsidRDefault="003E7B1D" w:rsidP="003E7B1D">
      <w:pPr>
        <w:spacing w:after="0" w:line="240" w:lineRule="auto"/>
      </w:pPr>
      <w:r>
        <w:separator/>
      </w:r>
    </w:p>
  </w:endnote>
  <w:endnote w:type="continuationSeparator" w:id="0">
    <w:p w:rsidR="003E7B1D" w:rsidRDefault="003E7B1D" w:rsidP="003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1D" w:rsidRDefault="003E7B1D" w:rsidP="003E7B1D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D" w:rsidRDefault="003E7B1D" w:rsidP="003E7B1D">
      <w:pPr>
        <w:spacing w:after="0" w:line="240" w:lineRule="auto"/>
      </w:pPr>
      <w:r>
        <w:separator/>
      </w:r>
    </w:p>
  </w:footnote>
  <w:footnote w:type="continuationSeparator" w:id="0">
    <w:p w:rsidR="003E7B1D" w:rsidRDefault="003E7B1D" w:rsidP="003E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1D" w:rsidRDefault="003E7B1D" w:rsidP="003E7B1D">
    <w:pPr>
      <w:pStyle w:val="Kopfzeile"/>
      <w:pBdr>
        <w:bottom w:val="single" w:sz="4" w:space="1" w:color="auto"/>
      </w:pBdr>
    </w:pPr>
    <w:r>
      <w:t>Wirtschaft und Kommunikation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BC"/>
    <w:rsid w:val="000E01E7"/>
    <w:rsid w:val="000E6584"/>
    <w:rsid w:val="003E7B1D"/>
    <w:rsid w:val="00476BDA"/>
    <w:rsid w:val="00546C56"/>
    <w:rsid w:val="00644E72"/>
    <w:rsid w:val="0069712E"/>
    <w:rsid w:val="007938BC"/>
    <w:rsid w:val="00797CBC"/>
    <w:rsid w:val="007A2A21"/>
    <w:rsid w:val="009753E8"/>
    <w:rsid w:val="00A86A1C"/>
    <w:rsid w:val="00B917F8"/>
    <w:rsid w:val="00E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E7DA-3643-4A61-9DF2-E8DD0D3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A21"/>
  </w:style>
  <w:style w:type="paragraph" w:styleId="berschrift1">
    <w:name w:val="heading 1"/>
    <w:basedOn w:val="Standard"/>
    <w:next w:val="Standard"/>
    <w:link w:val="berschrift1Zchn"/>
    <w:uiPriority w:val="9"/>
    <w:qFormat/>
    <w:rsid w:val="007A2A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2A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2A2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2A2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2A2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2A2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2A2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2A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2A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2A2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StandardWeb">
    <w:name w:val="Normal (Web)"/>
    <w:basedOn w:val="Standard"/>
    <w:uiPriority w:val="99"/>
    <w:semiHidden/>
    <w:unhideWhenUsed/>
    <w:rsid w:val="00476BDA"/>
    <w:pPr>
      <w:spacing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76BDA"/>
  </w:style>
  <w:style w:type="character" w:styleId="Hyperlink">
    <w:name w:val="Hyperlink"/>
    <w:basedOn w:val="Absatz-Standardschriftart"/>
    <w:uiPriority w:val="99"/>
    <w:semiHidden/>
    <w:unhideWhenUsed/>
    <w:rsid w:val="00476B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BD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2A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2A21"/>
    <w:rPr>
      <w:caps/>
      <w:color w:val="595959" w:themeColor="text1" w:themeTint="A6"/>
      <w:spacing w:val="10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A2A2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2A2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2A21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2A21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2A21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2A21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2A21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2A21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2A2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2A21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A2A21"/>
    <w:rPr>
      <w:b/>
      <w:bCs/>
      <w:color w:val="365F91" w:themeColor="accent1" w:themeShade="BF"/>
      <w:sz w:val="16"/>
      <w:szCs w:val="16"/>
    </w:rPr>
  </w:style>
  <w:style w:type="character" w:styleId="Fett">
    <w:name w:val="Strong"/>
    <w:uiPriority w:val="22"/>
    <w:qFormat/>
    <w:rsid w:val="007A2A21"/>
    <w:rPr>
      <w:b/>
      <w:bCs/>
    </w:rPr>
  </w:style>
  <w:style w:type="character" w:styleId="Hervorhebung">
    <w:name w:val="Emphasis"/>
    <w:uiPriority w:val="20"/>
    <w:qFormat/>
    <w:rsid w:val="007A2A21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7A2A2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A2A21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A2A21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2A2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2A21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7A2A21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A2A21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A2A21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A2A21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A2A21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2A2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E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B1D"/>
  </w:style>
  <w:style w:type="paragraph" w:styleId="Fuzeile">
    <w:name w:val="footer"/>
    <w:basedOn w:val="Standard"/>
    <w:link w:val="FuzeileZchn"/>
    <w:uiPriority w:val="99"/>
    <w:unhideWhenUsed/>
    <w:rsid w:val="003E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.de/was_ist_iba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an.de/swift-cod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ban.de/sepa-ueberweis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de/sep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18B6-28F3-4276-936E-D8743BB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Bader</dc:creator>
  <cp:lastModifiedBy>Peter Bader</cp:lastModifiedBy>
  <cp:revision>11</cp:revision>
  <cp:lastPrinted>2013-10-21T07:47:00Z</cp:lastPrinted>
  <dcterms:created xsi:type="dcterms:W3CDTF">2013-10-21T07:07:00Z</dcterms:created>
  <dcterms:modified xsi:type="dcterms:W3CDTF">2016-10-09T13:28:00Z</dcterms:modified>
</cp:coreProperties>
</file>